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C65DE0" w:rsidRDefault="00A95674" w:rsidP="00A95674">
      <w:pPr>
        <w:jc w:val="center"/>
        <w:rPr>
          <w:sz w:val="24"/>
          <w:szCs w:val="24"/>
        </w:rPr>
      </w:pPr>
      <w:r w:rsidRPr="00C65DE0">
        <w:rPr>
          <w:sz w:val="24"/>
          <w:szCs w:val="24"/>
        </w:rPr>
        <w:t>Statement of Consideration (SOC)</w:t>
      </w:r>
    </w:p>
    <w:p w14:paraId="3F7E432F" w14:textId="475DBF2A" w:rsidR="00A95674" w:rsidRPr="00E32D46" w:rsidRDefault="00A95674" w:rsidP="00DB7BFF">
      <w:pPr>
        <w:rPr>
          <w:rFonts w:asciiTheme="majorHAnsi" w:hAnsiTheme="majorHAnsi" w:cstheme="majorHAnsi"/>
          <w:sz w:val="24"/>
          <w:szCs w:val="24"/>
        </w:rPr>
      </w:pPr>
      <w:r w:rsidRPr="00E32D46">
        <w:rPr>
          <w:rFonts w:asciiTheme="majorHAnsi" w:hAnsiTheme="majorHAnsi" w:cstheme="majorHAnsi"/>
          <w:sz w:val="24"/>
          <w:szCs w:val="24"/>
        </w:rPr>
        <w:t>PPTL 20-</w:t>
      </w:r>
      <w:r w:rsidR="00166B96">
        <w:rPr>
          <w:rFonts w:asciiTheme="majorHAnsi" w:hAnsiTheme="majorHAnsi" w:cstheme="majorHAnsi"/>
          <w:sz w:val="24"/>
          <w:szCs w:val="24"/>
        </w:rPr>
        <w:t>27</w:t>
      </w:r>
      <w:bookmarkStart w:id="0" w:name="_GoBack"/>
      <w:bookmarkEnd w:id="0"/>
      <w:r w:rsidR="00FE3CA8" w:rsidRPr="00E32D46">
        <w:rPr>
          <w:rFonts w:asciiTheme="majorHAnsi" w:hAnsiTheme="majorHAnsi" w:cstheme="majorHAnsi"/>
          <w:sz w:val="24"/>
          <w:szCs w:val="24"/>
        </w:rPr>
        <w:t xml:space="preserve"> SOP</w:t>
      </w:r>
      <w:r w:rsidR="003A615A" w:rsidRPr="00E32D46">
        <w:rPr>
          <w:rFonts w:asciiTheme="majorHAnsi" w:hAnsiTheme="majorHAnsi" w:cstheme="majorHAnsi"/>
          <w:sz w:val="24"/>
          <w:szCs w:val="24"/>
        </w:rPr>
        <w:t xml:space="preserve"> </w:t>
      </w:r>
      <w:r w:rsidR="00780DD9" w:rsidRPr="00E32D46">
        <w:rPr>
          <w:rFonts w:asciiTheme="majorHAnsi" w:hAnsiTheme="majorHAnsi" w:cstheme="majorHAnsi"/>
          <w:sz w:val="24"/>
          <w:szCs w:val="24"/>
        </w:rPr>
        <w:t>4.9 Initial Placement Consideration and SOP 4.48 Discharge from a PCP or PCC Placement</w:t>
      </w:r>
      <w:r w:rsidR="003A615A" w:rsidRPr="00E32D46">
        <w:rPr>
          <w:rFonts w:asciiTheme="majorHAnsi" w:hAnsiTheme="majorHAnsi" w:cstheme="majorHAnsi"/>
          <w:sz w:val="24"/>
          <w:szCs w:val="24"/>
        </w:rPr>
        <w:t>.</w:t>
      </w:r>
      <w:r w:rsidR="003D39A4" w:rsidRPr="00E32D46">
        <w:rPr>
          <w:rFonts w:asciiTheme="majorHAnsi" w:hAnsiTheme="majorHAnsi" w:cstheme="majorHAnsi"/>
          <w:sz w:val="24"/>
          <w:szCs w:val="24"/>
        </w:rPr>
        <w:t xml:space="preserve"> </w:t>
      </w:r>
      <w:r w:rsidR="00C44A31" w:rsidRPr="00E32D46">
        <w:rPr>
          <w:rFonts w:asciiTheme="majorHAnsi" w:hAnsiTheme="majorHAnsi" w:cstheme="majorHAnsi"/>
          <w:sz w:val="24"/>
          <w:szCs w:val="24"/>
        </w:rPr>
        <w:t xml:space="preserve"> </w:t>
      </w:r>
      <w:r w:rsidRPr="00E32D46">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Pr="00E32D46" w:rsidRDefault="004A49AB">
      <w:pPr>
        <w:rPr>
          <w:rFonts w:asciiTheme="majorHAnsi" w:hAnsiTheme="majorHAnsi" w:cstheme="majorHAnsi"/>
          <w:b/>
          <w:sz w:val="24"/>
          <w:szCs w:val="24"/>
          <w:u w:val="single"/>
        </w:rPr>
      </w:pPr>
    </w:p>
    <w:p w14:paraId="7106F244" w14:textId="313F276E" w:rsidR="004A49AB" w:rsidRPr="00E32D46" w:rsidRDefault="007B5F03">
      <w:pPr>
        <w:rPr>
          <w:rFonts w:asciiTheme="majorHAnsi" w:hAnsiTheme="majorHAnsi" w:cstheme="majorHAnsi"/>
          <w:b/>
          <w:sz w:val="24"/>
          <w:szCs w:val="24"/>
          <w:u w:val="single"/>
        </w:rPr>
      </w:pPr>
      <w:r w:rsidRPr="00E32D46">
        <w:rPr>
          <w:rFonts w:asciiTheme="majorHAnsi" w:hAnsiTheme="majorHAnsi" w:cstheme="majorHAnsi"/>
          <w:b/>
          <w:sz w:val="24"/>
          <w:szCs w:val="24"/>
          <w:u w:val="single"/>
        </w:rPr>
        <w:t xml:space="preserve">SOP </w:t>
      </w:r>
      <w:r w:rsidR="00780DD9" w:rsidRPr="00E32D46">
        <w:rPr>
          <w:rFonts w:asciiTheme="majorHAnsi" w:hAnsiTheme="majorHAnsi" w:cstheme="majorHAnsi"/>
          <w:b/>
          <w:sz w:val="24"/>
          <w:szCs w:val="24"/>
          <w:u w:val="single"/>
        </w:rPr>
        <w:t xml:space="preserve">4.9 </w:t>
      </w:r>
    </w:p>
    <w:p w14:paraId="0CC50CAB" w14:textId="47E43FCE" w:rsidR="00E32D46" w:rsidRPr="00E32D46" w:rsidRDefault="00A56E8E" w:rsidP="00E32D46">
      <w:pPr>
        <w:pStyle w:val="ListParagraph"/>
        <w:numPr>
          <w:ilvl w:val="0"/>
          <w:numId w:val="29"/>
        </w:numPr>
        <w:rPr>
          <w:rFonts w:asciiTheme="majorHAnsi" w:hAnsiTheme="majorHAnsi" w:cstheme="majorHAnsi"/>
          <w:b/>
          <w:sz w:val="24"/>
          <w:szCs w:val="24"/>
        </w:rPr>
      </w:pPr>
      <w:r w:rsidRPr="00E32D46">
        <w:rPr>
          <w:rFonts w:asciiTheme="majorHAnsi" w:hAnsiTheme="majorHAnsi" w:cstheme="majorHAnsi"/>
          <w:b/>
          <w:sz w:val="24"/>
          <w:szCs w:val="24"/>
        </w:rPr>
        <w:t>Comment</w:t>
      </w:r>
      <w:r w:rsidR="00E07F79" w:rsidRPr="00E32D46">
        <w:rPr>
          <w:rFonts w:asciiTheme="majorHAnsi" w:hAnsiTheme="majorHAnsi" w:cstheme="majorHAnsi"/>
          <w:b/>
          <w:sz w:val="24"/>
          <w:szCs w:val="24"/>
        </w:rPr>
        <w:t>:</w:t>
      </w:r>
      <w:r w:rsidR="00E07F79" w:rsidRPr="00E32D46">
        <w:rPr>
          <w:rFonts w:asciiTheme="majorHAnsi" w:hAnsiTheme="majorHAnsi" w:cstheme="majorHAnsi"/>
          <w:sz w:val="24"/>
          <w:szCs w:val="24"/>
        </w:rPr>
        <w:t xml:space="preserve"> </w:t>
      </w:r>
      <w:r w:rsidR="00E32D46" w:rsidRPr="00E32D46">
        <w:rPr>
          <w:rFonts w:asciiTheme="majorHAnsi" w:hAnsiTheme="majorHAnsi" w:cstheme="majorHAnsi"/>
          <w:sz w:val="24"/>
          <w:szCs w:val="24"/>
        </w:rPr>
        <w:t>I have reviewed these SOP proposed changes, the only suggestion or area I would like to see more clear direction for staff would be around sibling visitations.  Specifically, when siblings are separated because of one of them needing a higher level of care, and how to transition them back together as a unit, either in the home of the birth family or into a foster family.  Sibling visits need to be addressed in different situations, such the parents are AWOL and not showing visits, we should still be getting the children together if they are in different homes, or if they are divided because of the mental health needs of them requires PCC placement</w:t>
      </w:r>
      <w:r w:rsidR="006C19BA" w:rsidRPr="00E32D46">
        <w:rPr>
          <w:rFonts w:asciiTheme="majorHAnsi" w:hAnsiTheme="majorHAnsi" w:cstheme="majorHAnsi"/>
          <w:sz w:val="24"/>
          <w:szCs w:val="24"/>
        </w:rPr>
        <w:t xml:space="preserve">.  </w:t>
      </w:r>
      <w:r w:rsidR="00E32D46" w:rsidRPr="00E32D46">
        <w:rPr>
          <w:rFonts w:asciiTheme="majorHAnsi" w:hAnsiTheme="majorHAnsi" w:cstheme="majorHAnsi"/>
          <w:sz w:val="24"/>
          <w:szCs w:val="24"/>
        </w:rPr>
        <w:t>I would like for SOP to address that visitation between siblings continues, with the input of the providers as to where and as to the length of the visits</w:t>
      </w:r>
    </w:p>
    <w:p w14:paraId="77A8865A" w14:textId="29EE94E1" w:rsidR="006C19BA" w:rsidRPr="006C19BA" w:rsidRDefault="00E32D46" w:rsidP="006C19BA">
      <w:pPr>
        <w:ind w:left="720"/>
        <w:rPr>
          <w:rFonts w:asciiTheme="majorHAnsi" w:hAnsiTheme="majorHAnsi" w:cstheme="majorHAnsi"/>
          <w:sz w:val="24"/>
          <w:szCs w:val="24"/>
        </w:rPr>
      </w:pPr>
      <w:r w:rsidRPr="00E32D46">
        <w:rPr>
          <w:rFonts w:asciiTheme="majorHAnsi" w:hAnsiTheme="majorHAnsi" w:cstheme="majorHAnsi"/>
          <w:b/>
          <w:sz w:val="24"/>
          <w:szCs w:val="24"/>
        </w:rPr>
        <w:t xml:space="preserve">Response:  </w:t>
      </w:r>
      <w:r w:rsidR="006C19BA" w:rsidRPr="006C19BA">
        <w:rPr>
          <w:rFonts w:asciiTheme="majorHAnsi" w:hAnsiTheme="majorHAnsi" w:cstheme="majorHAnsi"/>
          <w:sz w:val="24"/>
          <w:szCs w:val="24"/>
        </w:rPr>
        <w:t xml:space="preserve">Sibling visitation is addressed in </w:t>
      </w:r>
      <w:hyperlink r:id="rId8" w:history="1">
        <w:r w:rsidR="006C19BA">
          <w:rPr>
            <w:rStyle w:val="Hyperlink"/>
            <w:rFonts w:asciiTheme="majorHAnsi" w:hAnsiTheme="majorHAnsi" w:cstheme="majorHAnsi"/>
            <w:sz w:val="24"/>
            <w:szCs w:val="24"/>
          </w:rPr>
          <w:t>SOP 4</w:t>
        </w:r>
        <w:r w:rsidR="006C19BA" w:rsidRPr="006C19BA">
          <w:rPr>
            <w:rStyle w:val="Hyperlink"/>
            <w:rFonts w:asciiTheme="majorHAnsi" w:hAnsiTheme="majorHAnsi" w:cstheme="majorHAnsi"/>
            <w:sz w:val="24"/>
            <w:szCs w:val="24"/>
          </w:rPr>
          <w:t>.18 Ongoing Case Planning</w:t>
        </w:r>
      </w:hyperlink>
      <w:r w:rsidR="006C19BA">
        <w:rPr>
          <w:rFonts w:asciiTheme="majorHAnsi" w:hAnsiTheme="majorHAnsi" w:cstheme="majorHAnsi"/>
          <w:sz w:val="24"/>
          <w:szCs w:val="24"/>
        </w:rPr>
        <w:t xml:space="preserve"> </w:t>
      </w:r>
      <w:r w:rsidR="006C19BA" w:rsidRPr="006C19BA">
        <w:rPr>
          <w:rFonts w:asciiTheme="majorHAnsi" w:hAnsiTheme="majorHAnsi" w:cstheme="majorHAnsi"/>
          <w:sz w:val="24"/>
          <w:szCs w:val="24"/>
        </w:rPr>
        <w:t>and</w:t>
      </w:r>
      <w:r w:rsidR="006C19BA" w:rsidRPr="006C19BA">
        <w:t xml:space="preserve"> </w:t>
      </w:r>
      <w:hyperlink r:id="rId9" w:history="1">
        <w:r w:rsidR="006C19BA">
          <w:rPr>
            <w:rStyle w:val="Hyperlink"/>
            <w:rFonts w:asciiTheme="majorHAnsi" w:hAnsiTheme="majorHAnsi" w:cstheme="majorHAnsi"/>
            <w:sz w:val="24"/>
            <w:szCs w:val="24"/>
          </w:rPr>
          <w:t>SOP 4</w:t>
        </w:r>
        <w:r w:rsidR="006C19BA" w:rsidRPr="006C19BA">
          <w:rPr>
            <w:rStyle w:val="Hyperlink"/>
            <w:rFonts w:asciiTheme="majorHAnsi" w:hAnsiTheme="majorHAnsi" w:cstheme="majorHAnsi"/>
            <w:sz w:val="24"/>
            <w:szCs w:val="24"/>
          </w:rPr>
          <w:t>.19 Visitation Agreement</w:t>
        </w:r>
      </w:hyperlink>
      <w:r w:rsidR="006C19BA">
        <w:rPr>
          <w:rFonts w:asciiTheme="majorHAnsi" w:hAnsiTheme="majorHAnsi" w:cstheme="majorHAnsi"/>
          <w:sz w:val="24"/>
          <w:szCs w:val="24"/>
        </w:rPr>
        <w:t xml:space="preserve">.  </w:t>
      </w:r>
      <w:hyperlink r:id="rId10" w:history="1">
        <w:r w:rsidR="006C19BA">
          <w:rPr>
            <w:rStyle w:val="Hyperlink"/>
            <w:rFonts w:asciiTheme="majorHAnsi" w:hAnsiTheme="majorHAnsi" w:cstheme="majorHAnsi"/>
            <w:sz w:val="24"/>
            <w:szCs w:val="24"/>
          </w:rPr>
          <w:t>SOP 4</w:t>
        </w:r>
        <w:r w:rsidR="006C19BA" w:rsidRPr="006C19BA">
          <w:rPr>
            <w:rStyle w:val="Hyperlink"/>
            <w:rFonts w:asciiTheme="majorHAnsi" w:hAnsiTheme="majorHAnsi" w:cstheme="majorHAnsi"/>
            <w:sz w:val="24"/>
            <w:szCs w:val="24"/>
          </w:rPr>
          <w:t xml:space="preserve">.35 Reunification, Including Extended Visitation, Case </w:t>
        </w:r>
        <w:proofErr w:type="gramStart"/>
        <w:r w:rsidR="006C19BA" w:rsidRPr="006C19BA">
          <w:rPr>
            <w:rStyle w:val="Hyperlink"/>
            <w:rFonts w:asciiTheme="majorHAnsi" w:hAnsiTheme="majorHAnsi" w:cstheme="majorHAnsi"/>
            <w:sz w:val="24"/>
            <w:szCs w:val="24"/>
          </w:rPr>
          <w:t>Planning</w:t>
        </w:r>
        <w:proofErr w:type="gramEnd"/>
        <w:r w:rsidR="006C19BA" w:rsidRPr="006C19BA">
          <w:rPr>
            <w:rStyle w:val="Hyperlink"/>
            <w:rFonts w:asciiTheme="majorHAnsi" w:hAnsiTheme="majorHAnsi" w:cstheme="majorHAnsi"/>
            <w:sz w:val="24"/>
            <w:szCs w:val="24"/>
          </w:rPr>
          <w:t xml:space="preserve"> and Transitional Supports to Families and Children</w:t>
        </w:r>
      </w:hyperlink>
      <w:r w:rsidR="006C19BA">
        <w:rPr>
          <w:rFonts w:asciiTheme="majorHAnsi" w:hAnsiTheme="majorHAnsi" w:cstheme="majorHAnsi"/>
          <w:sz w:val="24"/>
          <w:szCs w:val="24"/>
        </w:rPr>
        <w:t xml:space="preserve"> </w:t>
      </w:r>
      <w:r w:rsidR="006C19BA" w:rsidRPr="006C19BA">
        <w:rPr>
          <w:rFonts w:asciiTheme="majorHAnsi" w:hAnsiTheme="majorHAnsi" w:cstheme="majorHAnsi"/>
          <w:sz w:val="24"/>
          <w:szCs w:val="24"/>
        </w:rPr>
        <w:t xml:space="preserve">discusses transitions in detail, which would apply to reunifying siblings. </w:t>
      </w:r>
    </w:p>
    <w:p w14:paraId="74DC7BA3" w14:textId="7C47AB14" w:rsidR="003A615A" w:rsidRPr="006C19BA" w:rsidRDefault="003A615A" w:rsidP="00E32D46">
      <w:pPr>
        <w:ind w:left="720"/>
        <w:rPr>
          <w:rFonts w:asciiTheme="majorHAnsi" w:hAnsiTheme="majorHAnsi" w:cstheme="majorHAnsi"/>
          <w:sz w:val="24"/>
          <w:szCs w:val="24"/>
        </w:rPr>
      </w:pPr>
    </w:p>
    <w:p w14:paraId="2F82104C" w14:textId="2DE1BCE8" w:rsidR="00780DD9" w:rsidRPr="00E32D46" w:rsidRDefault="00780DD9" w:rsidP="00780DD9">
      <w:pPr>
        <w:rPr>
          <w:rFonts w:asciiTheme="majorHAnsi" w:hAnsiTheme="majorHAnsi" w:cstheme="majorHAnsi"/>
          <w:b/>
          <w:sz w:val="24"/>
          <w:szCs w:val="24"/>
        </w:rPr>
      </w:pPr>
    </w:p>
    <w:p w14:paraId="4818EEFE" w14:textId="7F955086" w:rsidR="00780DD9" w:rsidRPr="00E32D46" w:rsidRDefault="00780DD9" w:rsidP="00780DD9">
      <w:pPr>
        <w:rPr>
          <w:rFonts w:asciiTheme="majorHAnsi" w:hAnsiTheme="majorHAnsi" w:cstheme="majorHAnsi"/>
          <w:b/>
          <w:sz w:val="24"/>
          <w:szCs w:val="24"/>
        </w:rPr>
      </w:pPr>
    </w:p>
    <w:p w14:paraId="12F27909" w14:textId="28D76471" w:rsidR="00E32D46" w:rsidRPr="00E32D46" w:rsidRDefault="00780DD9" w:rsidP="00E32D46">
      <w:pPr>
        <w:rPr>
          <w:rFonts w:asciiTheme="majorHAnsi" w:hAnsiTheme="majorHAnsi" w:cstheme="majorHAnsi"/>
          <w:b/>
          <w:sz w:val="24"/>
          <w:szCs w:val="24"/>
          <w:u w:val="single"/>
        </w:rPr>
      </w:pPr>
      <w:r w:rsidRPr="00E32D46">
        <w:rPr>
          <w:rFonts w:asciiTheme="majorHAnsi" w:hAnsiTheme="majorHAnsi" w:cstheme="majorHAnsi"/>
          <w:b/>
          <w:sz w:val="24"/>
          <w:szCs w:val="24"/>
          <w:u w:val="single"/>
        </w:rPr>
        <w:t>SOP 4.48</w:t>
      </w:r>
    </w:p>
    <w:p w14:paraId="7913E041" w14:textId="0C4E9355" w:rsidR="00E32D46" w:rsidRPr="00E32D46" w:rsidRDefault="00E32D46" w:rsidP="00E32D46">
      <w:pPr>
        <w:pStyle w:val="ListParagraph"/>
        <w:numPr>
          <w:ilvl w:val="0"/>
          <w:numId w:val="30"/>
        </w:numPr>
        <w:rPr>
          <w:rFonts w:asciiTheme="majorHAnsi" w:hAnsiTheme="majorHAnsi" w:cstheme="majorHAnsi"/>
          <w:color w:val="B05800"/>
          <w:sz w:val="24"/>
          <w:szCs w:val="24"/>
        </w:rPr>
      </w:pPr>
      <w:r w:rsidRPr="00E32D46">
        <w:rPr>
          <w:rFonts w:asciiTheme="majorHAnsi" w:hAnsiTheme="majorHAnsi" w:cstheme="majorHAnsi"/>
          <w:b/>
          <w:sz w:val="24"/>
          <w:szCs w:val="24"/>
        </w:rPr>
        <w:t xml:space="preserve">Comment:  </w:t>
      </w:r>
      <w:r w:rsidRPr="00E32D46">
        <w:rPr>
          <w:rFonts w:asciiTheme="majorHAnsi" w:hAnsiTheme="majorHAnsi" w:cstheme="majorHAnsi"/>
          <w:sz w:val="24"/>
          <w:szCs w:val="24"/>
        </w:rPr>
        <w:t>In regards to SOP 4.48 re: the 10 Day Notice (</w:t>
      </w:r>
      <w:r w:rsidRPr="00E32D46">
        <w:rPr>
          <w:rFonts w:asciiTheme="majorHAnsi" w:hAnsiTheme="majorHAnsi" w:cstheme="majorHAnsi"/>
          <w:b/>
          <w:bCs/>
          <w:color w:val="B05800"/>
          <w:sz w:val="24"/>
          <w:szCs w:val="24"/>
        </w:rPr>
        <w:t xml:space="preserve">The Cabinet must provide a ten (10) day verbal and written notice prior to a new placement or reunification occurring unless the Cabinet determines that the child is in imminent danger or the court orders placement sooner). </w:t>
      </w:r>
    </w:p>
    <w:p w14:paraId="0A8F0AA3" w14:textId="77777777" w:rsidR="00E32D46" w:rsidRPr="00E32D46" w:rsidRDefault="00E32D46" w:rsidP="00E32D46">
      <w:pPr>
        <w:ind w:left="720"/>
        <w:rPr>
          <w:rFonts w:asciiTheme="majorHAnsi" w:hAnsiTheme="majorHAnsi" w:cstheme="majorHAnsi"/>
          <w:sz w:val="24"/>
          <w:szCs w:val="24"/>
        </w:rPr>
      </w:pPr>
      <w:r w:rsidRPr="00E32D46">
        <w:rPr>
          <w:rFonts w:asciiTheme="majorHAnsi" w:hAnsiTheme="majorHAnsi" w:cstheme="majorHAnsi"/>
          <w:sz w:val="24"/>
          <w:szCs w:val="24"/>
        </w:rPr>
        <w:t>Staff feel like Foster Parents need to be informed that the child’s goal is Return to Parent and we are working toward that.  Staff feel that the child does need to be prepared for that transition but it should be an ongoing process and continuous collaboration between the Foster Parent/Worker</w:t>
      </w:r>
      <w:proofErr w:type="gramStart"/>
      <w:r w:rsidRPr="00E32D46">
        <w:rPr>
          <w:rFonts w:asciiTheme="majorHAnsi" w:hAnsiTheme="majorHAnsi" w:cstheme="majorHAnsi"/>
          <w:sz w:val="24"/>
          <w:szCs w:val="24"/>
        </w:rPr>
        <w:t xml:space="preserve">. </w:t>
      </w:r>
      <w:proofErr w:type="gramEnd"/>
      <w:r w:rsidRPr="00E32D46">
        <w:rPr>
          <w:rFonts w:asciiTheme="majorHAnsi" w:hAnsiTheme="majorHAnsi" w:cstheme="majorHAnsi"/>
          <w:sz w:val="24"/>
          <w:szCs w:val="24"/>
        </w:rPr>
        <w:t xml:space="preserve">Staff feel that if a 10 day written notice is given some foster </w:t>
      </w:r>
      <w:proofErr w:type="spellStart"/>
      <w:r w:rsidRPr="00E32D46">
        <w:rPr>
          <w:rFonts w:asciiTheme="majorHAnsi" w:hAnsiTheme="majorHAnsi" w:cstheme="majorHAnsi"/>
          <w:sz w:val="24"/>
          <w:szCs w:val="24"/>
        </w:rPr>
        <w:t>parent’s</w:t>
      </w:r>
      <w:proofErr w:type="spellEnd"/>
      <w:r w:rsidRPr="00E32D46">
        <w:rPr>
          <w:rFonts w:asciiTheme="majorHAnsi" w:hAnsiTheme="majorHAnsi" w:cstheme="majorHAnsi"/>
          <w:sz w:val="24"/>
          <w:szCs w:val="24"/>
        </w:rPr>
        <w:t xml:space="preserve"> may show that to the child and could cause a disruption (if the child wants to go </w:t>
      </w:r>
      <w:r w:rsidRPr="00E32D46">
        <w:rPr>
          <w:rFonts w:asciiTheme="majorHAnsi" w:hAnsiTheme="majorHAnsi" w:cstheme="majorHAnsi"/>
          <w:sz w:val="24"/>
          <w:szCs w:val="24"/>
        </w:rPr>
        <w:lastRenderedPageBreak/>
        <w:t>sooner or if the child doesn’t end up getting returned)</w:t>
      </w:r>
      <w:proofErr w:type="gramStart"/>
      <w:r w:rsidRPr="00E32D46">
        <w:rPr>
          <w:rFonts w:asciiTheme="majorHAnsi" w:hAnsiTheme="majorHAnsi" w:cstheme="majorHAnsi"/>
          <w:sz w:val="24"/>
          <w:szCs w:val="24"/>
        </w:rPr>
        <w:t xml:space="preserve">. </w:t>
      </w:r>
      <w:proofErr w:type="gramEnd"/>
      <w:r w:rsidRPr="00E32D46">
        <w:rPr>
          <w:rFonts w:asciiTheme="majorHAnsi" w:hAnsiTheme="majorHAnsi" w:cstheme="majorHAnsi"/>
          <w:sz w:val="24"/>
          <w:szCs w:val="24"/>
        </w:rPr>
        <w:t xml:space="preserve">Staff feel if there is ongoing engagement between the worker/Foster Parent the written noticed is not needed. </w:t>
      </w:r>
    </w:p>
    <w:p w14:paraId="2C97CDC8" w14:textId="77777777" w:rsidR="00E32D46" w:rsidRDefault="00E32D46" w:rsidP="00E32D46">
      <w:pPr>
        <w:rPr>
          <w:rFonts w:ascii="Lucida Bright" w:hAnsi="Lucida Bright"/>
          <w:sz w:val="24"/>
          <w:szCs w:val="24"/>
        </w:rPr>
      </w:pPr>
    </w:p>
    <w:p w14:paraId="4A2F4C9F" w14:textId="44D4D486" w:rsidR="004E10F3" w:rsidRDefault="00E32D46" w:rsidP="006C19BA">
      <w:pPr>
        <w:pStyle w:val="ListParagraph"/>
      </w:pPr>
      <w:r>
        <w:rPr>
          <w:b/>
        </w:rPr>
        <w:t xml:space="preserve">Response:  </w:t>
      </w:r>
      <w:r w:rsidR="006C19BA" w:rsidRPr="006C19BA">
        <w:t xml:space="preserve">The statements surrounding engagement and collaboration with the foster parent above is best practice. </w:t>
      </w:r>
      <w:r w:rsidR="004E10F3">
        <w:t xml:space="preserve"> The ten (10) day notice is also a requirement in the PCC/PCP agreement.  </w:t>
      </w:r>
    </w:p>
    <w:p w14:paraId="4999B124" w14:textId="77777777" w:rsidR="004E10F3" w:rsidRDefault="004E10F3" w:rsidP="006C19BA">
      <w:pPr>
        <w:pStyle w:val="ListParagraph"/>
      </w:pPr>
    </w:p>
    <w:p w14:paraId="22B08ABA" w14:textId="755DB38D" w:rsidR="006C19BA" w:rsidRPr="006C19BA" w:rsidRDefault="006C19BA" w:rsidP="006C19BA">
      <w:pPr>
        <w:pStyle w:val="ListParagraph"/>
      </w:pPr>
      <w:r w:rsidRPr="006C19BA">
        <w:t>Unfortunately, there are many</w:t>
      </w:r>
      <w:r>
        <w:t xml:space="preserve"> situations when families do not receive notice that a child is moving and they are asked to have </w:t>
      </w:r>
      <w:proofErr w:type="gramStart"/>
      <w:r>
        <w:t>child(</w:t>
      </w:r>
      <w:proofErr w:type="spellStart"/>
      <w:proofErr w:type="gramEnd"/>
      <w:r>
        <w:t>r</w:t>
      </w:r>
      <w:r w:rsidRPr="006C19BA">
        <w:t>en</w:t>
      </w:r>
      <w:proofErr w:type="spellEnd"/>
      <w:r>
        <w:t>)</w:t>
      </w:r>
      <w:r w:rsidRPr="006C19BA">
        <w:t xml:space="preserve"> ready </w:t>
      </w:r>
      <w:r>
        <w:t>the same</w:t>
      </w:r>
      <w:r w:rsidRPr="006C19BA">
        <w:t xml:space="preserve"> day or the next day with no preparation of the child.  Prope</w:t>
      </w:r>
      <w:r>
        <w:t>r notice should be given</w:t>
      </w:r>
      <w:r w:rsidRPr="006C19BA">
        <w:t xml:space="preserve"> </w:t>
      </w:r>
      <w:r>
        <w:t>to prepare the child and family for the transition.</w:t>
      </w:r>
      <w:r w:rsidRPr="006C19BA">
        <w:t xml:space="preserve">  This is a timeline that must be established to ensure this preparation. </w:t>
      </w:r>
    </w:p>
    <w:p w14:paraId="2E351FE8" w14:textId="32F709E5" w:rsidR="00E32D46" w:rsidRPr="00E32D46" w:rsidRDefault="00E32D46" w:rsidP="00E32D46">
      <w:pPr>
        <w:pStyle w:val="ListParagraph"/>
        <w:rPr>
          <w:b/>
        </w:rPr>
      </w:pPr>
    </w:p>
    <w:sectPr w:rsidR="00E32D46" w:rsidRPr="00E3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13047"/>
    <w:multiLevelType w:val="multilevel"/>
    <w:tmpl w:val="C310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5C0"/>
    <w:multiLevelType w:val="hybridMultilevel"/>
    <w:tmpl w:val="9CE8D962"/>
    <w:lvl w:ilvl="0" w:tplc="3FFE68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33AA"/>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40FA2"/>
    <w:multiLevelType w:val="hybridMultilevel"/>
    <w:tmpl w:val="BEB23A80"/>
    <w:lvl w:ilvl="0" w:tplc="9738D1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4"/>
  </w:num>
  <w:num w:numId="4">
    <w:abstractNumId w:val="26"/>
  </w:num>
  <w:num w:numId="5">
    <w:abstractNumId w:val="26"/>
  </w:num>
  <w:num w:numId="6">
    <w:abstractNumId w:val="13"/>
  </w:num>
  <w:num w:numId="7">
    <w:abstractNumId w:val="15"/>
  </w:num>
  <w:num w:numId="8">
    <w:abstractNumId w:val="19"/>
  </w:num>
  <w:num w:numId="9">
    <w:abstractNumId w:val="12"/>
  </w:num>
  <w:num w:numId="10">
    <w:abstractNumId w:val="0"/>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9"/>
  </w:num>
  <w:num w:numId="19">
    <w:abstractNumId w:val="27"/>
  </w:num>
  <w:num w:numId="20">
    <w:abstractNumId w:val="21"/>
  </w:num>
  <w:num w:numId="21">
    <w:abstractNumId w:val="21"/>
  </w:num>
  <w:num w:numId="22">
    <w:abstractNumId w:val="10"/>
  </w:num>
  <w:num w:numId="23">
    <w:abstractNumId w:val="23"/>
  </w:num>
  <w:num w:numId="24">
    <w:abstractNumId w:val="5"/>
  </w:num>
  <w:num w:numId="25">
    <w:abstractNumId w:val="6"/>
  </w:num>
  <w:num w:numId="26">
    <w:abstractNumId w:val="22"/>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NKwFACJ9hsctAAAA"/>
  </w:docVars>
  <w:rsids>
    <w:rsidRoot w:val="004A49AB"/>
    <w:rsid w:val="00005640"/>
    <w:rsid w:val="00053CFF"/>
    <w:rsid w:val="000623AD"/>
    <w:rsid w:val="000F69DE"/>
    <w:rsid w:val="001517FE"/>
    <w:rsid w:val="00166B96"/>
    <w:rsid w:val="00192F41"/>
    <w:rsid w:val="001B4F96"/>
    <w:rsid w:val="001C3183"/>
    <w:rsid w:val="001D2536"/>
    <w:rsid w:val="001F3CDF"/>
    <w:rsid w:val="001F41C5"/>
    <w:rsid w:val="001F5873"/>
    <w:rsid w:val="00251039"/>
    <w:rsid w:val="002869E9"/>
    <w:rsid w:val="002F63DC"/>
    <w:rsid w:val="003437BB"/>
    <w:rsid w:val="003455A2"/>
    <w:rsid w:val="00362E1A"/>
    <w:rsid w:val="00371EBD"/>
    <w:rsid w:val="003A615A"/>
    <w:rsid w:val="003D39A4"/>
    <w:rsid w:val="004007D1"/>
    <w:rsid w:val="00420EDC"/>
    <w:rsid w:val="0042301F"/>
    <w:rsid w:val="0045550B"/>
    <w:rsid w:val="004A49AB"/>
    <w:rsid w:val="004D4B7E"/>
    <w:rsid w:val="004E10F3"/>
    <w:rsid w:val="00550A03"/>
    <w:rsid w:val="0057517A"/>
    <w:rsid w:val="0059218F"/>
    <w:rsid w:val="005974C4"/>
    <w:rsid w:val="005A4E87"/>
    <w:rsid w:val="005B7E1E"/>
    <w:rsid w:val="005F21CC"/>
    <w:rsid w:val="006242CB"/>
    <w:rsid w:val="00653494"/>
    <w:rsid w:val="006C19BA"/>
    <w:rsid w:val="00702A22"/>
    <w:rsid w:val="007442FC"/>
    <w:rsid w:val="00765911"/>
    <w:rsid w:val="00780DD9"/>
    <w:rsid w:val="007B5F03"/>
    <w:rsid w:val="00805A91"/>
    <w:rsid w:val="00A06021"/>
    <w:rsid w:val="00A07BBC"/>
    <w:rsid w:val="00A174A4"/>
    <w:rsid w:val="00A56E8E"/>
    <w:rsid w:val="00A8339D"/>
    <w:rsid w:val="00A95674"/>
    <w:rsid w:val="00B07426"/>
    <w:rsid w:val="00B32FC5"/>
    <w:rsid w:val="00B33500"/>
    <w:rsid w:val="00B5321A"/>
    <w:rsid w:val="00B765F4"/>
    <w:rsid w:val="00B9565D"/>
    <w:rsid w:val="00BC536E"/>
    <w:rsid w:val="00C20D48"/>
    <w:rsid w:val="00C33AA7"/>
    <w:rsid w:val="00C44A31"/>
    <w:rsid w:val="00C576D2"/>
    <w:rsid w:val="00C65DE0"/>
    <w:rsid w:val="00CF5A14"/>
    <w:rsid w:val="00D51B9C"/>
    <w:rsid w:val="00D72313"/>
    <w:rsid w:val="00D74164"/>
    <w:rsid w:val="00DA6A37"/>
    <w:rsid w:val="00DB7BFF"/>
    <w:rsid w:val="00DE505F"/>
    <w:rsid w:val="00DF5C47"/>
    <w:rsid w:val="00E07F79"/>
    <w:rsid w:val="00E32D46"/>
    <w:rsid w:val="00F33A03"/>
    <w:rsid w:val="00F579E2"/>
    <w:rsid w:val="00F70A10"/>
    <w:rsid w:val="00FA43AC"/>
    <w:rsid w:val="00FC69FB"/>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4/11/Pages/418OngoingCasePlann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nuals.sp.chfs.ky.gov/chapter4/13/Pages/435Reunification,IncludingExtendedVisitation,CasePlanningandTransitionalSupportstoFamilies.aspx" TargetMode="External"/><Relationship Id="rId4" Type="http://schemas.openxmlformats.org/officeDocument/2006/relationships/numbering" Target="numbering.xml"/><Relationship Id="rId9" Type="http://schemas.openxmlformats.org/officeDocument/2006/relationships/hyperlink" Target="https://manuals.sp.chfs.ky.gov/chapter4/11/Pages/419VisitationAgre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2.xml><?xml version="1.0" encoding="utf-8"?>
<ds:datastoreItem xmlns:ds="http://schemas.openxmlformats.org/officeDocument/2006/customXml" ds:itemID="{F04ACE2C-E369-40E7-BA39-3CFD32E70783}">
  <ds:schemaRefs>
    <ds:schemaRef ds:uri="http://purl.org/dc/terms/"/>
    <ds:schemaRef ds:uri="http://schemas.openxmlformats.org/package/2006/metadata/core-properties"/>
    <ds:schemaRef ds:uri="65b60e10-1d1f-48db-8ed9-28ba608457d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1FA525D-5CDF-497C-BF23-CDCAB721B2D4}"/>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PPTL 20-27 Statement of Consideration for SOP 4.9 and 4.48</vt:lpstr>
    </vt:vector>
  </TitlesOfParts>
  <Company>Commonwealth of Kentucky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20-27 Statement of Consideration for SOP 4.9 and 4.48</dc:title>
  <dc:subject/>
  <dc:creator>Cubert, Julie M (CHFS DCBS DPP)</dc:creator>
  <cp:keywords/>
  <dc:description/>
  <cp:lastModifiedBy>Cubert, Julie M (CHFS DCBS DPP)</cp:lastModifiedBy>
  <cp:revision>3</cp:revision>
  <cp:lastPrinted>2019-07-17T17:01:00Z</cp:lastPrinted>
  <dcterms:created xsi:type="dcterms:W3CDTF">2020-12-28T19:06:00Z</dcterms:created>
  <dcterms:modified xsi:type="dcterms:W3CDTF">2020-12-28T20:25:00Z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